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2AD" w:rsidRDefault="00D542AD">
      <w:pPr>
        <w:pStyle w:val="normal0"/>
        <w:rPr>
          <w:rFonts w:ascii="Arial" w:eastAsia="Arial" w:hAnsi="Arial" w:cs="Arial"/>
          <w:sz w:val="28"/>
          <w:szCs w:val="28"/>
        </w:rPr>
      </w:pPr>
      <w:bookmarkStart w:id="0" w:name="_GoBack"/>
      <w:bookmarkEnd w:id="0"/>
    </w:p>
    <w:p w:rsidR="00D542AD" w:rsidRDefault="00D542AD">
      <w:pPr>
        <w:pStyle w:val="normal0"/>
        <w:jc w:val="center"/>
        <w:rPr>
          <w:rFonts w:ascii="Arial" w:eastAsia="Arial" w:hAnsi="Arial" w:cs="Arial"/>
          <w:sz w:val="28"/>
          <w:szCs w:val="28"/>
        </w:rPr>
      </w:pPr>
    </w:p>
    <w:p w:rsidR="00D542AD" w:rsidRDefault="00935146">
      <w:pPr>
        <w:pStyle w:val="normal0"/>
        <w:jc w:val="center"/>
        <w:rPr>
          <w:rFonts w:ascii="Arial" w:eastAsia="Arial" w:hAnsi="Arial" w:cs="Arial"/>
          <w:sz w:val="28"/>
          <w:szCs w:val="28"/>
        </w:rPr>
      </w:pPr>
      <w:proofErr w:type="gramStart"/>
      <w:r>
        <w:rPr>
          <w:rFonts w:ascii="Arial" w:eastAsia="Arial" w:hAnsi="Arial" w:cs="Arial"/>
          <w:sz w:val="28"/>
          <w:szCs w:val="28"/>
        </w:rPr>
        <w:t>OER  Readiness</w:t>
      </w:r>
      <w:proofErr w:type="gramEnd"/>
      <w:r>
        <w:rPr>
          <w:rFonts w:ascii="Arial" w:eastAsia="Arial" w:hAnsi="Arial" w:cs="Arial"/>
          <w:sz w:val="28"/>
          <w:szCs w:val="28"/>
        </w:rPr>
        <w:t xml:space="preserve"> Assessment (no point value)</w:t>
      </w:r>
    </w:p>
    <w:p w:rsidR="00D542AD" w:rsidRDefault="00935146">
      <w:pPr>
        <w:pStyle w:val="normal0"/>
        <w:rPr>
          <w:rFonts w:ascii="Arial" w:eastAsia="Arial" w:hAnsi="Arial" w:cs="Arial"/>
        </w:rPr>
      </w:pPr>
      <w:r>
        <w:rPr>
          <w:rFonts w:ascii="Arial" w:eastAsia="Arial" w:hAnsi="Arial" w:cs="Arial"/>
        </w:rPr>
        <w:t xml:space="preserve">Core members of the </w:t>
      </w:r>
      <w:proofErr w:type="gramStart"/>
      <w:r>
        <w:rPr>
          <w:rFonts w:ascii="Arial" w:eastAsia="Arial" w:hAnsi="Arial" w:cs="Arial"/>
        </w:rPr>
        <w:t>cross functional</w:t>
      </w:r>
      <w:proofErr w:type="gramEnd"/>
      <w:r>
        <w:rPr>
          <w:rFonts w:ascii="Arial" w:eastAsia="Arial" w:hAnsi="Arial" w:cs="Arial"/>
        </w:rPr>
        <w:t xml:space="preserve"> leadership team are asked to reflect, as a group, on the institution’s capacity (readiness) to participate in the Zed Cred/Z Degree Initiative. Use this form to share brief comments on your reflection in the middle and </w:t>
      </w:r>
      <w:r>
        <w:rPr>
          <w:rFonts w:ascii="Arial" w:eastAsia="Arial" w:hAnsi="Arial" w:cs="Arial"/>
        </w:rPr>
        <w:t xml:space="preserve">right columns.  </w:t>
      </w:r>
    </w:p>
    <w:p w:rsidR="00D542AD" w:rsidRDefault="00935146">
      <w:pPr>
        <w:pStyle w:val="normal0"/>
        <w:rPr>
          <w:rFonts w:ascii="Arial" w:eastAsia="Arial" w:hAnsi="Arial" w:cs="Arial"/>
        </w:rPr>
      </w:pPr>
      <w:bookmarkStart w:id="1" w:name="_gjdgxs" w:colFirst="0" w:colLast="0"/>
      <w:bookmarkEnd w:id="1"/>
      <w:r>
        <w:rPr>
          <w:rFonts w:ascii="Arial" w:eastAsia="Arial" w:hAnsi="Arial" w:cs="Arial"/>
        </w:rPr>
        <w:t xml:space="preserve">The purpose of the reflection is to deepen awareness of what it will take to implement </w:t>
      </w:r>
      <w:proofErr w:type="gramStart"/>
      <w:r>
        <w:rPr>
          <w:rFonts w:ascii="Arial" w:eastAsia="Arial" w:hAnsi="Arial" w:cs="Arial"/>
        </w:rPr>
        <w:t>an OER degrees</w:t>
      </w:r>
      <w:proofErr w:type="gramEnd"/>
      <w:r>
        <w:rPr>
          <w:rFonts w:ascii="Arial" w:eastAsia="Arial" w:hAnsi="Arial" w:cs="Arial"/>
        </w:rPr>
        <w:t xml:space="preserve"> within the two year timeline. While prior experience using OER materials and offering OER courses will help institutions meet expectation</w:t>
      </w:r>
      <w:r>
        <w:rPr>
          <w:rFonts w:ascii="Arial" w:eastAsia="Arial" w:hAnsi="Arial" w:cs="Arial"/>
        </w:rPr>
        <w:t>s for the OER Degree Initiative, less experienced institutions are also welcome to apply. In their RFP narratives, both experienced and less experienced institutions should propose strategies they will use to leverage their strengths and further develop th</w:t>
      </w:r>
      <w:r>
        <w:rPr>
          <w:rFonts w:ascii="Arial" w:eastAsia="Arial" w:hAnsi="Arial" w:cs="Arial"/>
        </w:rPr>
        <w:t>eir capacity for this work.</w:t>
      </w:r>
    </w:p>
    <w:p w:rsidR="00D542AD" w:rsidRDefault="00935146">
      <w:pPr>
        <w:pStyle w:val="normal0"/>
        <w:rPr>
          <w:rFonts w:ascii="Arial" w:eastAsia="Arial" w:hAnsi="Arial" w:cs="Arial"/>
        </w:rPr>
      </w:pPr>
      <w:r>
        <w:rPr>
          <w:rFonts w:ascii="Arial" w:eastAsia="Arial" w:hAnsi="Arial" w:cs="Arial"/>
        </w:rPr>
        <w:t>In the chart below, several potential indicators of strong capacity are offered as examples.  Institutions are encouraged to consider these and other indicators they believe relate to being successful in implementing and scaling</w:t>
      </w:r>
      <w:r>
        <w:rPr>
          <w:rFonts w:ascii="Arial" w:eastAsia="Arial" w:hAnsi="Arial" w:cs="Arial"/>
        </w:rPr>
        <w:t xml:space="preserve"> an OER Degree.</w:t>
      </w:r>
    </w:p>
    <w:p w:rsidR="00D542AD" w:rsidRDefault="00935146">
      <w:pPr>
        <w:pStyle w:val="normal0"/>
        <w:rPr>
          <w:rFonts w:ascii="Arial" w:eastAsia="Arial" w:hAnsi="Arial" w:cs="Arial"/>
        </w:rPr>
      </w:pPr>
      <w:r>
        <w:rPr>
          <w:rFonts w:ascii="Arial" w:eastAsia="Arial" w:hAnsi="Arial" w:cs="Arial"/>
          <w:b/>
        </w:rPr>
        <w:t>Leadership and Vision</w:t>
      </w:r>
    </w:p>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40"/>
        <w:gridCol w:w="2985"/>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Examples of Indicators of Capacity</w:t>
            </w:r>
          </w:p>
        </w:tc>
        <w:tc>
          <w:tcPr>
            <w:tcW w:w="2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Faculty leaders support the increased use of OER and an OER Degree Program and faculty champions are ready to lead the work.</w:t>
            </w:r>
          </w:p>
          <w:p w:rsidR="00D542AD" w:rsidRDefault="00935146">
            <w:pPr>
              <w:pStyle w:val="normal0"/>
              <w:rPr>
                <w:rFonts w:ascii="Arial" w:eastAsia="Arial" w:hAnsi="Arial" w:cs="Arial"/>
              </w:rPr>
            </w:pPr>
            <w:r>
              <w:rPr>
                <w:rFonts w:ascii="Arial" w:eastAsia="Arial" w:hAnsi="Arial" w:cs="Arial"/>
              </w:rPr>
              <w:t>There are one or mo</w:t>
            </w:r>
            <w:r>
              <w:rPr>
                <w:rFonts w:ascii="Arial" w:eastAsia="Arial" w:hAnsi="Arial" w:cs="Arial"/>
              </w:rPr>
              <w:t xml:space="preserve">re high level executive leaders who are committed to the success of the OER Degree Initiative. </w:t>
            </w:r>
          </w:p>
        </w:tc>
        <w:tc>
          <w:tcPr>
            <w:tcW w:w="274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 xml:space="preserve"> </w:t>
            </w: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rPr>
                <w:rFonts w:ascii="Arial" w:eastAsia="Arial" w:hAnsi="Arial" w:cs="Arial"/>
              </w:rPr>
            </w:pPr>
          </w:p>
          <w:p w:rsidR="00D542AD" w:rsidRDefault="00D542AD">
            <w:pPr>
              <w:pStyle w:val="normal0"/>
              <w:ind w:firstLine="720"/>
              <w:rPr>
                <w:rFonts w:ascii="Arial" w:eastAsia="Arial" w:hAnsi="Arial" w:cs="Arial"/>
              </w:rPr>
            </w:pPr>
          </w:p>
        </w:tc>
        <w:tc>
          <w:tcPr>
            <w:tcW w:w="298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lastRenderedPageBreak/>
              <w:t xml:space="preserve"> </w:t>
            </w:r>
          </w:p>
        </w:tc>
      </w:tr>
    </w:tbl>
    <w:p w:rsidR="00D542AD" w:rsidRDefault="00D542AD">
      <w:pPr>
        <w:pStyle w:val="normal0"/>
        <w:rPr>
          <w:rFonts w:ascii="Arial" w:eastAsia="Arial" w:hAnsi="Arial" w:cs="Arial"/>
          <w:b/>
        </w:rPr>
      </w:pPr>
    </w:p>
    <w:p w:rsidR="00D542AD" w:rsidRDefault="00935146">
      <w:pPr>
        <w:pStyle w:val="normal0"/>
        <w:rPr>
          <w:rFonts w:ascii="Arial" w:eastAsia="Arial" w:hAnsi="Arial" w:cs="Arial"/>
        </w:rPr>
      </w:pPr>
      <w:r>
        <w:rPr>
          <w:rFonts w:ascii="Arial" w:eastAsia="Arial" w:hAnsi="Arial" w:cs="Arial"/>
          <w:b/>
        </w:rPr>
        <w:t xml:space="preserve"> </w:t>
      </w:r>
    </w:p>
    <w:p w:rsidR="00D542AD" w:rsidRDefault="00935146">
      <w:pPr>
        <w:pStyle w:val="normal0"/>
        <w:rPr>
          <w:rFonts w:ascii="Arial" w:eastAsia="Arial" w:hAnsi="Arial" w:cs="Arial"/>
        </w:rPr>
      </w:pPr>
      <w:r>
        <w:rPr>
          <w:rFonts w:ascii="Arial" w:eastAsia="Arial" w:hAnsi="Arial" w:cs="Arial"/>
          <w:b/>
        </w:rPr>
        <w:t>Equity</w:t>
      </w:r>
    </w:p>
    <w:tbl>
      <w:tblPr>
        <w:tblStyle w:val="a0"/>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85"/>
        <w:gridCol w:w="2970"/>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Examples of Indicators of Capacity</w:t>
            </w:r>
          </w:p>
        </w:tc>
        <w:tc>
          <w:tcPr>
            <w:tcW w:w="27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 xml:space="preserve">All students have adequate access to computers on campus so they can access digital materials. </w:t>
            </w:r>
          </w:p>
          <w:p w:rsidR="00D542AD" w:rsidRDefault="00935146">
            <w:pPr>
              <w:pStyle w:val="normal0"/>
              <w:rPr>
                <w:rFonts w:ascii="Arial" w:eastAsia="Arial" w:hAnsi="Arial" w:cs="Arial"/>
              </w:rPr>
            </w:pPr>
            <w:r>
              <w:rPr>
                <w:rFonts w:ascii="Arial" w:eastAsia="Arial" w:hAnsi="Arial" w:cs="Arial"/>
              </w:rPr>
              <w:t>The institution’s learning management system provides easy access for students to course materials.</w:t>
            </w:r>
          </w:p>
          <w:p w:rsidR="00D542AD" w:rsidRDefault="00935146">
            <w:pPr>
              <w:pStyle w:val="normal0"/>
              <w:rPr>
                <w:rFonts w:ascii="Arial" w:eastAsia="Arial" w:hAnsi="Arial" w:cs="Arial"/>
              </w:rPr>
            </w:pPr>
            <w:r>
              <w:rPr>
                <w:rFonts w:ascii="Arial" w:eastAsia="Arial" w:hAnsi="Arial" w:cs="Arial"/>
              </w:rPr>
              <w:t>Faculty design programs with attention to the diversity of l</w:t>
            </w:r>
            <w:r>
              <w:rPr>
                <w:rFonts w:ascii="Arial" w:eastAsia="Arial" w:hAnsi="Arial" w:cs="Arial"/>
              </w:rPr>
              <w:t>earner needs.</w:t>
            </w:r>
          </w:p>
        </w:tc>
        <w:tc>
          <w:tcPr>
            <w:tcW w:w="278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r>
    </w:tbl>
    <w:p w:rsidR="00D542AD" w:rsidRDefault="00935146">
      <w:pPr>
        <w:pStyle w:val="normal0"/>
        <w:rPr>
          <w:rFonts w:ascii="Arial" w:eastAsia="Arial" w:hAnsi="Arial" w:cs="Arial"/>
        </w:rPr>
      </w:pPr>
      <w:r>
        <w:rPr>
          <w:rFonts w:ascii="Arial" w:eastAsia="Arial" w:hAnsi="Arial" w:cs="Arial"/>
          <w:b/>
        </w:rPr>
        <w:t xml:space="preserve"> </w:t>
      </w:r>
    </w:p>
    <w:p w:rsidR="00D542AD" w:rsidRDefault="00935146">
      <w:pPr>
        <w:pStyle w:val="normal0"/>
        <w:rPr>
          <w:rFonts w:ascii="Arial" w:eastAsia="Arial" w:hAnsi="Arial" w:cs="Arial"/>
        </w:rPr>
      </w:pPr>
      <w:r>
        <w:rPr>
          <w:rFonts w:ascii="Arial" w:eastAsia="Arial" w:hAnsi="Arial" w:cs="Arial"/>
          <w:b/>
        </w:rPr>
        <w:t xml:space="preserve"> Teaching and Learning</w:t>
      </w:r>
    </w:p>
    <w:tbl>
      <w:tblPr>
        <w:tblStyle w:val="a1"/>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55"/>
        <w:gridCol w:w="2970"/>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Examples of Indicators of Capacity</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Student learning outcomes for the courses and the program selected for OER Degrees are clearly identified.</w:t>
            </w:r>
          </w:p>
          <w:p w:rsidR="00D542AD" w:rsidRDefault="00935146">
            <w:pPr>
              <w:pStyle w:val="normal0"/>
              <w:rPr>
                <w:rFonts w:ascii="Arial" w:eastAsia="Arial" w:hAnsi="Arial" w:cs="Arial"/>
              </w:rPr>
            </w:pPr>
            <w:r>
              <w:rPr>
                <w:rFonts w:ascii="Arial" w:eastAsia="Arial" w:hAnsi="Arial" w:cs="Arial"/>
              </w:rPr>
              <w:t xml:space="preserve">Faculty are prepared to lead the development </w:t>
            </w:r>
            <w:proofErr w:type="gramStart"/>
            <w:r>
              <w:rPr>
                <w:rFonts w:ascii="Arial" w:eastAsia="Arial" w:hAnsi="Arial" w:cs="Arial"/>
              </w:rPr>
              <w:t>of  an</w:t>
            </w:r>
            <w:proofErr w:type="gramEnd"/>
            <w:r>
              <w:rPr>
                <w:rFonts w:ascii="Arial" w:eastAsia="Arial" w:hAnsi="Arial" w:cs="Arial"/>
              </w:rPr>
              <w:t xml:space="preserve"> OER degree using research-based pedagogy.</w:t>
            </w:r>
          </w:p>
        </w:tc>
        <w:tc>
          <w:tcPr>
            <w:tcW w:w="275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r>
    </w:tbl>
    <w:p w:rsidR="00D542AD" w:rsidRDefault="00935146">
      <w:pPr>
        <w:pStyle w:val="normal0"/>
        <w:rPr>
          <w:rFonts w:ascii="Arial" w:eastAsia="Arial" w:hAnsi="Arial" w:cs="Arial"/>
        </w:rPr>
      </w:pPr>
      <w:r>
        <w:rPr>
          <w:rFonts w:ascii="Arial" w:eastAsia="Arial" w:hAnsi="Arial" w:cs="Arial"/>
          <w:b/>
        </w:rPr>
        <w:t xml:space="preserve"> </w:t>
      </w:r>
    </w:p>
    <w:p w:rsidR="00D542AD" w:rsidRDefault="00935146">
      <w:pPr>
        <w:pStyle w:val="normal0"/>
        <w:rPr>
          <w:rFonts w:ascii="Arial" w:eastAsia="Arial" w:hAnsi="Arial" w:cs="Arial"/>
        </w:rPr>
      </w:pPr>
      <w:r>
        <w:rPr>
          <w:rFonts w:ascii="Arial" w:eastAsia="Arial" w:hAnsi="Arial" w:cs="Arial"/>
          <w:b/>
        </w:rPr>
        <w:t xml:space="preserve"> Engagement and Communications</w:t>
      </w:r>
    </w:p>
    <w:tbl>
      <w:tblPr>
        <w:tblStyle w:val="a2"/>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55"/>
        <w:gridCol w:w="2970"/>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lastRenderedPageBreak/>
              <w:t>Examples of Indicators of Capacity</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The institution has a culture that promotes cross-discipline and/or cross functional collaboration</w:t>
            </w:r>
          </w:p>
          <w:p w:rsidR="00D542AD" w:rsidRDefault="00935146">
            <w:pPr>
              <w:pStyle w:val="normal0"/>
              <w:rPr>
                <w:rFonts w:ascii="Arial" w:eastAsia="Arial" w:hAnsi="Arial" w:cs="Arial"/>
              </w:rPr>
            </w:pPr>
            <w:r>
              <w:rPr>
                <w:rFonts w:ascii="Arial" w:eastAsia="Arial" w:hAnsi="Arial" w:cs="Arial"/>
              </w:rPr>
              <w:t>OER materials are widely used by faculty.</w:t>
            </w:r>
          </w:p>
          <w:p w:rsidR="00D542AD" w:rsidRDefault="00935146">
            <w:pPr>
              <w:pStyle w:val="normal0"/>
              <w:rPr>
                <w:rFonts w:ascii="Arial" w:eastAsia="Arial" w:hAnsi="Arial" w:cs="Arial"/>
              </w:rPr>
            </w:pPr>
            <w:r>
              <w:rPr>
                <w:rFonts w:ascii="Arial" w:eastAsia="Arial" w:hAnsi="Arial" w:cs="Arial"/>
              </w:rPr>
              <w:t>Students support the use of OER materials in their courses.</w:t>
            </w:r>
          </w:p>
          <w:p w:rsidR="00D542AD" w:rsidRDefault="00935146">
            <w:pPr>
              <w:pStyle w:val="normal0"/>
              <w:rPr>
                <w:rFonts w:ascii="Arial" w:eastAsia="Arial" w:hAnsi="Arial" w:cs="Arial"/>
              </w:rPr>
            </w:pPr>
            <w:r>
              <w:rPr>
                <w:rFonts w:ascii="Arial" w:eastAsia="Arial" w:hAnsi="Arial" w:cs="Arial"/>
              </w:rPr>
              <w:t xml:space="preserve">Discussions have been held with transfer institutions to assure acceptance </w:t>
            </w:r>
            <w:proofErr w:type="gramStart"/>
            <w:r>
              <w:rPr>
                <w:rFonts w:ascii="Arial" w:eastAsia="Arial" w:hAnsi="Arial" w:cs="Arial"/>
              </w:rPr>
              <w:t>of  credentials</w:t>
            </w:r>
            <w:proofErr w:type="gramEnd"/>
            <w:r>
              <w:rPr>
                <w:rFonts w:ascii="Arial" w:eastAsia="Arial" w:hAnsi="Arial" w:cs="Arial"/>
              </w:rPr>
              <w:t xml:space="preserve"> earned via OER degrees </w:t>
            </w:r>
          </w:p>
        </w:tc>
        <w:tc>
          <w:tcPr>
            <w:tcW w:w="275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r>
    </w:tbl>
    <w:p w:rsidR="00D542AD" w:rsidRDefault="00D542AD">
      <w:pPr>
        <w:pStyle w:val="normal0"/>
        <w:rPr>
          <w:rFonts w:ascii="Arial" w:eastAsia="Arial" w:hAnsi="Arial" w:cs="Arial"/>
        </w:rPr>
      </w:pPr>
    </w:p>
    <w:p w:rsidR="00D542AD" w:rsidRDefault="00935146">
      <w:pPr>
        <w:pStyle w:val="normal0"/>
        <w:rPr>
          <w:rFonts w:ascii="Arial" w:eastAsia="Arial" w:hAnsi="Arial" w:cs="Arial"/>
        </w:rPr>
      </w:pPr>
      <w:r>
        <w:rPr>
          <w:rFonts w:ascii="Arial" w:eastAsia="Arial" w:hAnsi="Arial" w:cs="Arial"/>
          <w:b/>
        </w:rPr>
        <w:t xml:space="preserve"> Strategy and Planning</w:t>
      </w:r>
    </w:p>
    <w:tbl>
      <w:tblPr>
        <w:tblStyle w:val="a3"/>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55"/>
        <w:gridCol w:w="2970"/>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Examples of Indicators of Capacity</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Access and success are strategic priorities of the Institution as evidenced by current goals and initiatives integrated within the Institution’s current strategic plan.</w:t>
            </w:r>
          </w:p>
          <w:p w:rsidR="00D542AD" w:rsidRDefault="00935146">
            <w:pPr>
              <w:pStyle w:val="normal0"/>
              <w:rPr>
                <w:rFonts w:ascii="Arial" w:eastAsia="Arial" w:hAnsi="Arial" w:cs="Arial"/>
              </w:rPr>
            </w:pPr>
            <w:r>
              <w:rPr>
                <w:rFonts w:ascii="Arial" w:eastAsia="Arial" w:hAnsi="Arial" w:cs="Arial"/>
              </w:rPr>
              <w:t>The OER Degree Initiative will be fully integrated with other institutional effectivene</w:t>
            </w:r>
            <w:r>
              <w:rPr>
                <w:rFonts w:ascii="Arial" w:eastAsia="Arial" w:hAnsi="Arial" w:cs="Arial"/>
              </w:rPr>
              <w:t>ss initiatives.</w:t>
            </w:r>
          </w:p>
          <w:p w:rsidR="00D542AD" w:rsidRDefault="00935146">
            <w:pPr>
              <w:pStyle w:val="normal0"/>
              <w:rPr>
                <w:rFonts w:ascii="Arial" w:eastAsia="Arial" w:hAnsi="Arial" w:cs="Arial"/>
              </w:rPr>
            </w:pPr>
            <w:r>
              <w:rPr>
                <w:rFonts w:ascii="Arial" w:eastAsia="Arial" w:hAnsi="Arial" w:cs="Arial"/>
              </w:rPr>
              <w:t xml:space="preserve">Plans for growing and scaling OER degrees are in place; the institution has a financing strategy that includes how the </w:t>
            </w:r>
            <w:r>
              <w:rPr>
                <w:rFonts w:ascii="Arial" w:eastAsia="Arial" w:hAnsi="Arial" w:cs="Arial"/>
              </w:rPr>
              <w:lastRenderedPageBreak/>
              <w:t>institution will support the growth of OER Degrees.</w:t>
            </w:r>
          </w:p>
          <w:p w:rsidR="00D542AD" w:rsidRDefault="00935146">
            <w:pPr>
              <w:pStyle w:val="normal0"/>
              <w:rPr>
                <w:rFonts w:ascii="Arial" w:eastAsia="Arial" w:hAnsi="Arial" w:cs="Arial"/>
              </w:rPr>
            </w:pPr>
            <w:r>
              <w:rPr>
                <w:rFonts w:ascii="Arial" w:eastAsia="Arial" w:hAnsi="Arial" w:cs="Arial"/>
              </w:rPr>
              <w:t xml:space="preserve">The institution has strategies in place to help students access OER </w:t>
            </w:r>
            <w:proofErr w:type="gramStart"/>
            <w:r>
              <w:rPr>
                <w:rFonts w:ascii="Arial" w:eastAsia="Arial" w:hAnsi="Arial" w:cs="Arial"/>
              </w:rPr>
              <w:t>i</w:t>
            </w:r>
            <w:r>
              <w:rPr>
                <w:rFonts w:ascii="Arial" w:eastAsia="Arial" w:hAnsi="Arial" w:cs="Arial"/>
              </w:rPr>
              <w:t>n  the</w:t>
            </w:r>
            <w:proofErr w:type="gramEnd"/>
            <w:r>
              <w:rPr>
                <w:rFonts w:ascii="Arial" w:eastAsia="Arial" w:hAnsi="Arial" w:cs="Arial"/>
              </w:rPr>
              <w:t xml:space="preserve"> OER degree programs and other OER courses. </w:t>
            </w:r>
          </w:p>
        </w:tc>
        <w:tc>
          <w:tcPr>
            <w:tcW w:w="275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lastRenderedPageBreak/>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r>
    </w:tbl>
    <w:p w:rsidR="00D542AD" w:rsidRDefault="00935146">
      <w:pPr>
        <w:pStyle w:val="normal0"/>
        <w:rPr>
          <w:rFonts w:ascii="Arial" w:eastAsia="Arial" w:hAnsi="Arial" w:cs="Arial"/>
        </w:rPr>
      </w:pPr>
      <w:r>
        <w:rPr>
          <w:rFonts w:ascii="Arial" w:eastAsia="Arial" w:hAnsi="Arial" w:cs="Arial"/>
          <w:b/>
        </w:rPr>
        <w:lastRenderedPageBreak/>
        <w:t xml:space="preserve"> </w:t>
      </w:r>
    </w:p>
    <w:p w:rsidR="00D542AD" w:rsidRDefault="00935146">
      <w:pPr>
        <w:pStyle w:val="normal0"/>
        <w:rPr>
          <w:rFonts w:ascii="Arial" w:eastAsia="Arial" w:hAnsi="Arial" w:cs="Arial"/>
        </w:rPr>
      </w:pPr>
      <w:r>
        <w:rPr>
          <w:rFonts w:ascii="Arial" w:eastAsia="Arial" w:hAnsi="Arial" w:cs="Arial"/>
          <w:b/>
        </w:rPr>
        <w:t>Policies and Practices</w:t>
      </w:r>
    </w:p>
    <w:tbl>
      <w:tblPr>
        <w:tblStyle w:val="a4"/>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0"/>
        <w:gridCol w:w="2755"/>
        <w:gridCol w:w="2970"/>
      </w:tblGrid>
      <w:tr w:rsidR="00D542AD">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Examples of Indicators of Capacity</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of Strength</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Areas to Strengthen</w:t>
            </w:r>
          </w:p>
        </w:tc>
      </w:tr>
      <w:tr w:rsidR="00D542AD">
        <w:tc>
          <w:tcPr>
            <w:tcW w:w="3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rPr>
              <w:t>Policies are in place to assure that courses required in programs will be available when students need them.</w:t>
            </w:r>
          </w:p>
          <w:p w:rsidR="00D542AD" w:rsidRDefault="00935146">
            <w:pPr>
              <w:pStyle w:val="normal0"/>
              <w:rPr>
                <w:rFonts w:ascii="Arial" w:eastAsia="Arial" w:hAnsi="Arial" w:cs="Arial"/>
              </w:rPr>
            </w:pPr>
            <w:r>
              <w:rPr>
                <w:rFonts w:ascii="Arial" w:eastAsia="Arial" w:hAnsi="Arial" w:cs="Arial"/>
              </w:rPr>
              <w:t xml:space="preserve">Use of OER by full time and part time faculty is encouraged and supported by professional development </w:t>
            </w:r>
            <w:proofErr w:type="gramStart"/>
            <w:r>
              <w:rPr>
                <w:rFonts w:ascii="Arial" w:eastAsia="Arial" w:hAnsi="Arial" w:cs="Arial"/>
              </w:rPr>
              <w:t xml:space="preserve">opportunities  </w:t>
            </w:r>
            <w:proofErr w:type="gramEnd"/>
          </w:p>
        </w:tc>
        <w:tc>
          <w:tcPr>
            <w:tcW w:w="2755"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542AD" w:rsidRDefault="00935146">
            <w:pPr>
              <w:pStyle w:val="normal0"/>
              <w:rPr>
                <w:rFonts w:ascii="Arial" w:eastAsia="Arial" w:hAnsi="Arial" w:cs="Arial"/>
              </w:rPr>
            </w:pPr>
            <w:r>
              <w:rPr>
                <w:rFonts w:ascii="Arial" w:eastAsia="Arial" w:hAnsi="Arial" w:cs="Arial"/>
                <w:b/>
              </w:rPr>
              <w:t xml:space="preserve"> </w:t>
            </w:r>
          </w:p>
        </w:tc>
      </w:tr>
    </w:tbl>
    <w:p w:rsidR="00D542AD" w:rsidRDefault="00935146">
      <w:pPr>
        <w:pStyle w:val="normal0"/>
        <w:rPr>
          <w:rFonts w:ascii="Arial" w:eastAsia="Arial" w:hAnsi="Arial" w:cs="Arial"/>
        </w:rPr>
      </w:pPr>
      <w:r>
        <w:rPr>
          <w:rFonts w:ascii="Arial" w:eastAsia="Arial" w:hAnsi="Arial" w:cs="Arial"/>
          <w:b/>
        </w:rPr>
        <w:t xml:space="preserve"> </w:t>
      </w:r>
    </w:p>
    <w:sectPr w:rsidR="00D542AD">
      <w:headerReference w:type="default" r:id="rId7"/>
      <w:footerReference w:type="default" r:id="rId8"/>
      <w:headerReference w:type="first" r:id="rId9"/>
      <w:footerReference w:type="first" r:id="rId10"/>
      <w:pgSz w:w="12240" w:h="15840"/>
      <w:pgMar w:top="1440" w:right="1440" w:bottom="153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5146">
      <w:pPr>
        <w:spacing w:after="0" w:line="240" w:lineRule="auto"/>
      </w:pPr>
      <w:r>
        <w:separator/>
      </w:r>
    </w:p>
  </w:endnote>
  <w:endnote w:type="continuationSeparator" w:id="0">
    <w:p w:rsidR="00000000" w:rsidRDefault="0093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estria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D" w:rsidRDefault="00935146">
    <w:pPr>
      <w:pStyle w:val="normal0"/>
      <w:tabs>
        <w:tab w:val="center" w:pos="4550"/>
        <w:tab w:val="left" w:pos="5818"/>
      </w:tabs>
      <w:ind w:right="260"/>
      <w:jc w:val="right"/>
      <w:rPr>
        <w:color w:val="222A35"/>
        <w:sz w:val="24"/>
        <w:szCs w:val="24"/>
      </w:rPr>
    </w:pPr>
    <w:r>
      <w:rPr>
        <w:color w:val="8496B0"/>
        <w:sz w:val="24"/>
        <w:szCs w:val="24"/>
      </w:rPr>
      <w:t xml:space="preserve">Page </w:t>
    </w:r>
    <w:r>
      <w:rPr>
        <w:color w:val="323E4F"/>
        <w:sz w:val="24"/>
        <w:szCs w:val="24"/>
      </w:rPr>
      <w:fldChar w:fldCharType="begin"/>
    </w:r>
    <w:r>
      <w:rPr>
        <w:color w:val="323E4F"/>
        <w:sz w:val="24"/>
        <w:szCs w:val="24"/>
      </w:rPr>
      <w:instrText>PAGE</w:instrText>
    </w:r>
    <w:r>
      <w:rPr>
        <w:color w:val="323E4F"/>
        <w:sz w:val="24"/>
        <w:szCs w:val="24"/>
      </w:rPr>
      <w:fldChar w:fldCharType="separate"/>
    </w:r>
    <w:r>
      <w:rPr>
        <w:noProof/>
        <w:color w:val="323E4F"/>
        <w:sz w:val="24"/>
        <w:szCs w:val="24"/>
      </w:rPr>
      <w:t>4</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Pr>
        <w:color w:val="323E4F"/>
        <w:sz w:val="24"/>
        <w:szCs w:val="24"/>
      </w:rPr>
      <w:fldChar w:fldCharType="separate"/>
    </w:r>
    <w:r>
      <w:rPr>
        <w:noProof/>
        <w:color w:val="323E4F"/>
        <w:sz w:val="24"/>
        <w:szCs w:val="24"/>
      </w:rPr>
      <w:t>4</w:t>
    </w:r>
    <w:r>
      <w:rPr>
        <w:color w:val="323E4F"/>
        <w:sz w:val="24"/>
        <w:szCs w:val="24"/>
      </w:rPr>
      <w:fldChar w:fldCharType="end"/>
    </w:r>
  </w:p>
  <w:p w:rsidR="00D542AD" w:rsidRDefault="00D542AD">
    <w:pPr>
      <w:pStyle w:val="normal0"/>
      <w:tabs>
        <w:tab w:val="center" w:pos="4680"/>
        <w:tab w:val="right" w:pos="9360"/>
      </w:tabs>
      <w:spacing w:after="720" w:line="240" w:lineRule="auto"/>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D" w:rsidRDefault="00D542AD">
    <w:pPr>
      <w:pStyle w:val="normal0"/>
      <w:tabs>
        <w:tab w:val="center" w:pos="4680"/>
        <w:tab w:val="right" w:pos="9360"/>
      </w:tabs>
      <w:spacing w:after="0" w:line="240" w:lineRule="auto"/>
      <w:jc w:val="center"/>
      <w:rPr>
        <w:sz w:val="18"/>
        <w:szCs w:val="18"/>
      </w:rPr>
    </w:pPr>
  </w:p>
  <w:p w:rsidR="00D542AD" w:rsidRDefault="00935146">
    <w:pPr>
      <w:pStyle w:val="normal0"/>
      <w:tabs>
        <w:tab w:val="center" w:pos="4680"/>
        <w:tab w:val="right" w:pos="9360"/>
      </w:tabs>
      <w:spacing w:after="0" w:line="240" w:lineRule="auto"/>
      <w:jc w:val="center"/>
      <w:rPr>
        <w:sz w:val="18"/>
        <w:szCs w:val="18"/>
      </w:rPr>
    </w:pPr>
    <w:r>
      <w:rPr>
        <w:noProof/>
        <w:lang w:val="en-US"/>
      </w:rPr>
      <w:drawing>
        <wp:inline distT="0" distB="0" distL="0" distR="0">
          <wp:extent cx="600224" cy="213610"/>
          <wp:effectExtent l="0" t="0" r="0" b="0"/>
          <wp:docPr id="2" name="image4.png" descr="reative Commons License"/>
          <wp:cNvGraphicFramePr/>
          <a:graphic xmlns:a="http://schemas.openxmlformats.org/drawingml/2006/main">
            <a:graphicData uri="http://schemas.openxmlformats.org/drawingml/2006/picture">
              <pic:pic xmlns:pic="http://schemas.openxmlformats.org/drawingml/2006/picture">
                <pic:nvPicPr>
                  <pic:cNvPr id="0" name="image4.png" descr="reative Commons License"/>
                  <pic:cNvPicPr preferRelativeResize="0"/>
                </pic:nvPicPr>
                <pic:blipFill>
                  <a:blip r:embed="rId1"/>
                  <a:srcRect/>
                  <a:stretch>
                    <a:fillRect/>
                  </a:stretch>
                </pic:blipFill>
                <pic:spPr>
                  <a:xfrm>
                    <a:off x="0" y="0"/>
                    <a:ext cx="600224" cy="213610"/>
                  </a:xfrm>
                  <a:prstGeom prst="rect">
                    <a:avLst/>
                  </a:prstGeom>
                  <a:ln/>
                </pic:spPr>
              </pic:pic>
            </a:graphicData>
          </a:graphic>
        </wp:inline>
      </w:drawing>
    </w:r>
    <w:r>
      <w:br/>
    </w:r>
    <w:r>
      <w:rPr>
        <w:sz w:val="18"/>
        <w:szCs w:val="18"/>
      </w:rPr>
      <w:t xml:space="preserve">Adapted from: The </w:t>
    </w:r>
    <w:r>
      <w:rPr>
        <w:i/>
        <w:sz w:val="18"/>
        <w:szCs w:val="18"/>
      </w:rPr>
      <w:t>OER Readiness Assessment </w:t>
    </w:r>
    <w:r>
      <w:rPr>
        <w:sz w:val="18"/>
        <w:szCs w:val="18"/>
      </w:rPr>
      <w:t>by </w:t>
    </w:r>
    <w:hyperlink r:id="rId2">
      <w:r>
        <w:rPr>
          <w:color w:val="0000FF"/>
          <w:sz w:val="18"/>
          <w:szCs w:val="18"/>
          <w:u w:val="single"/>
        </w:rPr>
        <w:t>Achieving the Dream</w:t>
      </w:r>
    </w:hyperlink>
    <w:r>
      <w:rPr>
        <w:sz w:val="18"/>
        <w:szCs w:val="18"/>
      </w:rPr>
      <w:t> is licensed under a </w:t>
    </w:r>
    <w:hyperlink r:id="rId3">
      <w:r>
        <w:rPr>
          <w:color w:val="0000FF"/>
          <w:sz w:val="18"/>
          <w:szCs w:val="18"/>
          <w:u w:val="single"/>
        </w:rPr>
        <w:t>Creative Commons Attribution 4.0 International License</w:t>
      </w:r>
    </w:hyperlink>
    <w:r>
      <w:rPr>
        <w:sz w:val="18"/>
        <w:szCs w:val="18"/>
      </w:rPr>
      <w:t>.</w:t>
    </w:r>
  </w:p>
  <w:p w:rsidR="00D542AD" w:rsidRDefault="00D542AD">
    <w:pPr>
      <w:pStyle w:val="normal0"/>
      <w:tabs>
        <w:tab w:val="center" w:pos="4680"/>
        <w:tab w:val="right" w:pos="9360"/>
      </w:tabs>
      <w:spacing w:after="720" w:line="240" w:lineRule="auto"/>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5146">
      <w:pPr>
        <w:spacing w:after="0" w:line="240" w:lineRule="auto"/>
      </w:pPr>
      <w:r>
        <w:separator/>
      </w:r>
    </w:p>
  </w:footnote>
  <w:footnote w:type="continuationSeparator" w:id="0">
    <w:p w:rsidR="00000000" w:rsidRDefault="009351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D" w:rsidRDefault="00D542AD">
    <w:pPr>
      <w:pStyle w:val="normal0"/>
      <w:tabs>
        <w:tab w:val="center" w:pos="4680"/>
        <w:tab w:val="right" w:pos="9360"/>
      </w:tabs>
      <w:spacing w:before="720" w:after="0" w:line="240" w:lineRule="auto"/>
    </w:pPr>
  </w:p>
  <w:p w:rsidR="00D542AD" w:rsidRDefault="00D542AD">
    <w:pPr>
      <w:pStyle w:val="normal0"/>
      <w:tabs>
        <w:tab w:val="center" w:pos="4680"/>
        <w:tab w:val="right" w:pos="9360"/>
      </w:tabs>
      <w:spacing w:after="0" w:line="240" w:lineRule="auto"/>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AD" w:rsidRDefault="00935146">
    <w:pPr>
      <w:pStyle w:val="normal0"/>
      <w:tabs>
        <w:tab w:val="center" w:pos="4680"/>
        <w:tab w:val="right" w:pos="9360"/>
      </w:tabs>
      <w:spacing w:before="720" w:after="0" w:line="240" w:lineRule="auto"/>
      <w:jc w:val="center"/>
    </w:pPr>
    <w:r>
      <w:rPr>
        <w:noProof/>
        <w:lang w:val="en-US"/>
      </w:rPr>
      <w:drawing>
        <wp:inline distT="114300" distB="114300" distL="114300" distR="114300">
          <wp:extent cx="3790950" cy="533400"/>
          <wp:effectExtent l="0" t="0" r="0" b="0"/>
          <wp:docPr id="1" name="image3.png" descr="opened-logo.png"/>
          <wp:cNvGraphicFramePr/>
          <a:graphic xmlns:a="http://schemas.openxmlformats.org/drawingml/2006/main">
            <a:graphicData uri="http://schemas.openxmlformats.org/drawingml/2006/picture">
              <pic:pic xmlns:pic="http://schemas.openxmlformats.org/drawingml/2006/picture">
                <pic:nvPicPr>
                  <pic:cNvPr id="0" name="image3.png" descr="opened-logo.png"/>
                  <pic:cNvPicPr preferRelativeResize="0"/>
                </pic:nvPicPr>
                <pic:blipFill>
                  <a:blip r:embed="rId1"/>
                  <a:srcRect/>
                  <a:stretch>
                    <a:fillRect/>
                  </a:stretch>
                </pic:blipFill>
                <pic:spPr>
                  <a:xfrm>
                    <a:off x="0" y="0"/>
                    <a:ext cx="3790950" cy="533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2AD"/>
    <w:rsid w:val="00935146"/>
    <w:rsid w:val="00D542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color w:val="000000"/>
        <w:sz w:val="22"/>
        <w:szCs w:val="22"/>
        <w:lang w:val="en-CA"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35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22"/>
        <w:szCs w:val="22"/>
        <w:lang w:val="en-CA"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35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1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achievingthedream.org/" TargetMode="External"/><Relationship Id="rId3"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3002</Characters>
  <Application>Microsoft Macintosh Word</Application>
  <DocSecurity>0</DocSecurity>
  <Lines>25</Lines>
  <Paragraphs>7</Paragraphs>
  <ScaleCrop>false</ScaleCrop>
  <Company>BCcampus</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Coolidge</cp:lastModifiedBy>
  <cp:revision>2</cp:revision>
  <dcterms:created xsi:type="dcterms:W3CDTF">2017-05-11T22:26:00Z</dcterms:created>
  <dcterms:modified xsi:type="dcterms:W3CDTF">2017-05-11T22:26:00Z</dcterms:modified>
</cp:coreProperties>
</file>